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2025-036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Sportstättenfahrten 2026-2029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